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C3" w:rsidRDefault="00C956C3" w:rsidP="00E84D0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DE2ECC">
        <w:rPr>
          <w:b/>
          <w:bCs/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Sheet No. </w:t>
      </w:r>
      <w:r w:rsidR="00432DF0">
        <w:rPr>
          <w:sz w:val="20"/>
          <w:szCs w:val="20"/>
        </w:rPr>
        <w:t>11</w:t>
      </w:r>
      <w:r>
        <w:rPr>
          <w:sz w:val="20"/>
          <w:szCs w:val="20"/>
        </w:rPr>
        <w:t>-1</w:t>
      </w:r>
    </w:p>
    <w:p w:rsidR="00E84D0D" w:rsidRDefault="00E84D0D" w:rsidP="001B3BD1">
      <w:pPr>
        <w:pStyle w:val="NoSpacing"/>
        <w:jc w:val="center"/>
        <w:rPr>
          <w:b/>
          <w:sz w:val="28"/>
          <w:szCs w:val="28"/>
        </w:rPr>
      </w:pPr>
    </w:p>
    <w:p w:rsidR="00C956C3" w:rsidRPr="001B3BD1" w:rsidRDefault="00C956C3" w:rsidP="001B3BD1">
      <w:pPr>
        <w:pStyle w:val="NoSpacing"/>
        <w:jc w:val="center"/>
        <w:rPr>
          <w:b/>
        </w:rPr>
      </w:pPr>
      <w:r w:rsidRPr="001B3BD1">
        <w:rPr>
          <w:b/>
          <w:sz w:val="28"/>
          <w:szCs w:val="28"/>
        </w:rPr>
        <w:t>P</w:t>
      </w:r>
      <w:r w:rsidRPr="001B3BD1">
        <w:rPr>
          <w:b/>
        </w:rPr>
        <w:t xml:space="preserve">ROVO </w:t>
      </w:r>
      <w:r w:rsidRPr="001B3BD1">
        <w:rPr>
          <w:b/>
          <w:sz w:val="28"/>
          <w:szCs w:val="28"/>
        </w:rPr>
        <w:t>C</w:t>
      </w:r>
      <w:r w:rsidRPr="001B3BD1">
        <w:rPr>
          <w:b/>
        </w:rPr>
        <w:t xml:space="preserve">ITY </w:t>
      </w:r>
      <w:r w:rsidRPr="001B3BD1">
        <w:rPr>
          <w:b/>
          <w:sz w:val="28"/>
          <w:szCs w:val="28"/>
        </w:rPr>
        <w:t>E</w:t>
      </w:r>
      <w:r w:rsidRPr="001B3BD1">
        <w:rPr>
          <w:b/>
        </w:rPr>
        <w:t xml:space="preserve">NERGY </w:t>
      </w:r>
      <w:r w:rsidRPr="001B3BD1">
        <w:rPr>
          <w:b/>
          <w:sz w:val="28"/>
          <w:szCs w:val="28"/>
        </w:rPr>
        <w:t>D</w:t>
      </w:r>
      <w:r w:rsidRPr="001B3BD1">
        <w:rPr>
          <w:b/>
        </w:rPr>
        <w:t>EPARTMENT</w:t>
      </w:r>
    </w:p>
    <w:p w:rsidR="00C956C3" w:rsidRPr="001B3BD1" w:rsidRDefault="00C956C3" w:rsidP="001B3BD1">
      <w:pPr>
        <w:pStyle w:val="NoSpacing"/>
        <w:jc w:val="center"/>
        <w:rPr>
          <w:b/>
          <w:sz w:val="28"/>
          <w:szCs w:val="28"/>
        </w:rPr>
      </w:pPr>
      <w:r w:rsidRPr="001B3BD1">
        <w:rPr>
          <w:b/>
          <w:sz w:val="28"/>
          <w:szCs w:val="28"/>
        </w:rPr>
        <w:t>E</w:t>
      </w:r>
      <w:r w:rsidRPr="001B3BD1">
        <w:rPr>
          <w:b/>
        </w:rPr>
        <w:t xml:space="preserve">LECTRIC </w:t>
      </w:r>
      <w:r w:rsidRPr="001B3BD1">
        <w:rPr>
          <w:b/>
          <w:sz w:val="28"/>
          <w:szCs w:val="28"/>
        </w:rPr>
        <w:t>S</w:t>
      </w:r>
      <w:r w:rsidRPr="001B3BD1">
        <w:rPr>
          <w:b/>
        </w:rPr>
        <w:t xml:space="preserve">ERVICE </w:t>
      </w:r>
      <w:r w:rsidRPr="001B3BD1">
        <w:rPr>
          <w:b/>
          <w:sz w:val="28"/>
          <w:szCs w:val="28"/>
        </w:rPr>
        <w:t>S</w:t>
      </w:r>
      <w:r w:rsidRPr="001B3BD1">
        <w:rPr>
          <w:b/>
        </w:rPr>
        <w:t xml:space="preserve">CHEDULE </w:t>
      </w:r>
      <w:r w:rsidRPr="001B3BD1">
        <w:rPr>
          <w:b/>
          <w:sz w:val="28"/>
          <w:szCs w:val="28"/>
        </w:rPr>
        <w:t>N</w:t>
      </w:r>
      <w:r w:rsidR="006524E5">
        <w:rPr>
          <w:b/>
          <w:sz w:val="28"/>
          <w:szCs w:val="28"/>
        </w:rPr>
        <w:t>o</w:t>
      </w:r>
      <w:r w:rsidRPr="001B3BD1">
        <w:rPr>
          <w:b/>
          <w:sz w:val="28"/>
          <w:szCs w:val="28"/>
        </w:rPr>
        <w:t xml:space="preserve">. </w:t>
      </w:r>
      <w:r w:rsidR="006E1D30">
        <w:rPr>
          <w:b/>
          <w:sz w:val="28"/>
          <w:szCs w:val="28"/>
        </w:rPr>
        <w:t>11</w:t>
      </w:r>
    </w:p>
    <w:p w:rsidR="00DE2ECC" w:rsidRPr="001B3BD1" w:rsidRDefault="00DE2ECC" w:rsidP="001B3BD1">
      <w:pPr>
        <w:pStyle w:val="NoSpacing"/>
        <w:jc w:val="center"/>
        <w:rPr>
          <w:b/>
        </w:rPr>
      </w:pPr>
    </w:p>
    <w:p w:rsidR="00096A2C" w:rsidRDefault="00947DE7">
      <w:pPr>
        <w:autoSpaceDE w:val="0"/>
        <w:autoSpaceDN w:val="0"/>
        <w:adjustRightInd w:val="0"/>
        <w:jc w:val="center"/>
        <w:rPr>
          <w:b/>
        </w:rPr>
      </w:pPr>
      <w:r w:rsidRPr="00947DE7">
        <w:rPr>
          <w:b/>
        </w:rPr>
        <w:t>____________________________________</w:t>
      </w:r>
    </w:p>
    <w:p w:rsidR="00096A2C" w:rsidRDefault="002812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Non-Residential Detached Buildings</w:t>
      </w:r>
    </w:p>
    <w:p w:rsidR="00096A2C" w:rsidRDefault="00DE2EC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E2ECC">
        <w:rPr>
          <w:b/>
          <w:bCs/>
          <w:sz w:val="26"/>
          <w:szCs w:val="26"/>
        </w:rPr>
        <w:t>General Service -- Distribution Voltage</w:t>
      </w:r>
    </w:p>
    <w:p w:rsidR="00DE2ECC" w:rsidRDefault="001B3BD1" w:rsidP="00DE2EC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</w:t>
      </w:r>
      <w:r w:rsidR="00DE2ECC">
        <w:rPr>
          <w:b/>
          <w:bCs/>
          <w:sz w:val="26"/>
          <w:szCs w:val="26"/>
        </w:rPr>
        <w:t xml:space="preserve"> </w:t>
      </w:r>
    </w:p>
    <w:p w:rsidR="00C956C3" w:rsidRDefault="00C956C3" w:rsidP="00C956C3">
      <w:pPr>
        <w:autoSpaceDE w:val="0"/>
        <w:autoSpaceDN w:val="0"/>
        <w:adjustRightInd w:val="0"/>
      </w:pPr>
    </w:p>
    <w:p w:rsidR="00C956C3" w:rsidRDefault="00C956C3" w:rsidP="00C956C3">
      <w:pPr>
        <w:autoSpaceDE w:val="0"/>
        <w:autoSpaceDN w:val="0"/>
        <w:adjustRightInd w:val="0"/>
      </w:pPr>
    </w:p>
    <w:p w:rsidR="00C956C3" w:rsidRDefault="00C956C3" w:rsidP="00C956C3">
      <w:pPr>
        <w:autoSpaceDE w:val="0"/>
        <w:autoSpaceDN w:val="0"/>
        <w:adjustRightInd w:val="0"/>
      </w:pPr>
    </w:p>
    <w:p w:rsidR="00C956C3" w:rsidRDefault="00C956C3" w:rsidP="00C956C3">
      <w:pPr>
        <w:autoSpaceDE w:val="0"/>
        <w:autoSpaceDN w:val="0"/>
        <w:adjustRightInd w:val="0"/>
      </w:pPr>
      <w:r>
        <w:rPr>
          <w:b/>
          <w:bCs/>
          <w:sz w:val="26"/>
          <w:szCs w:val="26"/>
        </w:rPr>
        <w:t>A</w:t>
      </w:r>
      <w:r>
        <w:rPr>
          <w:b/>
          <w:bCs/>
          <w:sz w:val="21"/>
          <w:szCs w:val="21"/>
        </w:rPr>
        <w:t xml:space="preserve">VAILABILITY </w:t>
      </w:r>
    </w:p>
    <w:p w:rsidR="00C956C3" w:rsidRDefault="00C956C3" w:rsidP="00C956C3">
      <w:pPr>
        <w:autoSpaceDE w:val="0"/>
        <w:autoSpaceDN w:val="0"/>
        <w:adjustRightInd w:val="0"/>
      </w:pPr>
      <w:r>
        <w:t>This schedule is available at any point on the Energy Department electric system where facilities</w:t>
      </w:r>
      <w:r w:rsidR="006E1D30">
        <w:t xml:space="preserve"> </w:t>
      </w:r>
      <w:r>
        <w:t>of adequate capacity and standard general service distribution voltages are available.</w:t>
      </w:r>
      <w:r w:rsidR="00FD6407">
        <w:t xml:space="preserve"> </w:t>
      </w:r>
    </w:p>
    <w:p w:rsidR="00C956C3" w:rsidRDefault="00C956C3" w:rsidP="00C956C3">
      <w:pPr>
        <w:autoSpaceDE w:val="0"/>
        <w:autoSpaceDN w:val="0"/>
        <w:adjustRightInd w:val="0"/>
      </w:pPr>
    </w:p>
    <w:p w:rsidR="00C956C3" w:rsidRDefault="00C956C3" w:rsidP="00C956C3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6"/>
          <w:szCs w:val="26"/>
        </w:rPr>
        <w:t>A</w:t>
      </w:r>
      <w:r>
        <w:rPr>
          <w:b/>
          <w:bCs/>
          <w:sz w:val="21"/>
          <w:szCs w:val="21"/>
        </w:rPr>
        <w:t>PPLICATION</w:t>
      </w:r>
    </w:p>
    <w:p w:rsidR="00C956C3" w:rsidRDefault="00C956C3" w:rsidP="00C956C3">
      <w:pPr>
        <w:autoSpaceDE w:val="0"/>
        <w:autoSpaceDN w:val="0"/>
        <w:adjustRightInd w:val="0"/>
      </w:pPr>
    </w:p>
    <w:p w:rsidR="00C956C3" w:rsidRDefault="00C956C3" w:rsidP="00C956C3">
      <w:pPr>
        <w:autoSpaceDE w:val="0"/>
        <w:autoSpaceDN w:val="0"/>
        <w:adjustRightInd w:val="0"/>
      </w:pPr>
      <w:r>
        <w:t>This schedule is applicable to electric service for which no other specific rate schedule is</w:t>
      </w:r>
    </w:p>
    <w:p w:rsidR="00FD6407" w:rsidRDefault="00C956C3" w:rsidP="00FD6407">
      <w:pPr>
        <w:autoSpaceDE w:val="0"/>
        <w:autoSpaceDN w:val="0"/>
        <w:adjustRightInd w:val="0"/>
      </w:pPr>
      <w:r>
        <w:t xml:space="preserve">applicable. This schedule is applicable to electric service used for, but not limited to, </w:t>
      </w:r>
      <w:r w:rsidR="00FD6407">
        <w:t>separately metered common areas of apartment</w:t>
      </w:r>
      <w:r w:rsidR="00AE6117">
        <w:t xml:space="preserve"> complexes</w:t>
      </w:r>
      <w:r w:rsidR="00FD6407">
        <w:t xml:space="preserve">, </w:t>
      </w:r>
      <w:r w:rsidR="00AE6117">
        <w:t xml:space="preserve">separately metered common areas of </w:t>
      </w:r>
      <w:r w:rsidR="00FD6407">
        <w:t>schools</w:t>
      </w:r>
      <w:r w:rsidR="00AE6117">
        <w:t>, separately metered common areas of</w:t>
      </w:r>
      <w:r w:rsidR="00FD6407">
        <w:t xml:space="preserve"> condominium complexes and detached buildings or areas not used for commercial purposes </w:t>
      </w:r>
      <w:r w:rsidR="00AE6117">
        <w:t>and not used</w:t>
      </w:r>
      <w:r w:rsidR="00FD6407">
        <w:t xml:space="preserve"> as residential dwellings.</w:t>
      </w:r>
    </w:p>
    <w:p w:rsidR="00AE6117" w:rsidRDefault="00AE6117" w:rsidP="00FD6407">
      <w:pPr>
        <w:autoSpaceDE w:val="0"/>
        <w:autoSpaceDN w:val="0"/>
        <w:adjustRightInd w:val="0"/>
      </w:pPr>
    </w:p>
    <w:p w:rsidR="00AE6117" w:rsidRDefault="00AE6117" w:rsidP="00FD6407">
      <w:pPr>
        <w:autoSpaceDE w:val="0"/>
        <w:autoSpaceDN w:val="0"/>
        <w:adjustRightInd w:val="0"/>
      </w:pPr>
      <w:r>
        <w:t>Customers who qualify for this rate may opt to be billed under Schedule 2</w:t>
      </w:r>
      <w:r w:rsidR="006E1D30">
        <w:t xml:space="preserve"> </w:t>
      </w:r>
      <w:r>
        <w:t xml:space="preserve">General Service Distribution Voltage. </w:t>
      </w:r>
    </w:p>
    <w:p w:rsidR="00C956C3" w:rsidRDefault="00C956C3" w:rsidP="00C956C3">
      <w:pPr>
        <w:autoSpaceDE w:val="0"/>
        <w:autoSpaceDN w:val="0"/>
        <w:adjustRightInd w:val="0"/>
      </w:pPr>
      <w:r>
        <w:t xml:space="preserve"> </w:t>
      </w:r>
    </w:p>
    <w:p w:rsidR="00C956C3" w:rsidRDefault="00C956C3" w:rsidP="00C956C3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6"/>
          <w:szCs w:val="26"/>
        </w:rPr>
        <w:t>C</w:t>
      </w:r>
      <w:r>
        <w:rPr>
          <w:b/>
          <w:bCs/>
          <w:sz w:val="21"/>
          <w:szCs w:val="21"/>
        </w:rPr>
        <w:t xml:space="preserve">HARACTER OF </w:t>
      </w:r>
      <w:r>
        <w:rPr>
          <w:b/>
          <w:bCs/>
          <w:sz w:val="26"/>
          <w:szCs w:val="26"/>
        </w:rPr>
        <w:t>S</w:t>
      </w:r>
      <w:r>
        <w:rPr>
          <w:b/>
          <w:bCs/>
          <w:sz w:val="21"/>
          <w:szCs w:val="21"/>
        </w:rPr>
        <w:t>ERVICE</w:t>
      </w:r>
    </w:p>
    <w:p w:rsidR="00C956C3" w:rsidRDefault="00C956C3" w:rsidP="00C956C3">
      <w:pPr>
        <w:autoSpaceDE w:val="0"/>
        <w:autoSpaceDN w:val="0"/>
        <w:adjustRightInd w:val="0"/>
      </w:pPr>
    </w:p>
    <w:p w:rsidR="00C956C3" w:rsidRDefault="00C956C3" w:rsidP="00C97A50">
      <w:pPr>
        <w:autoSpaceDE w:val="0"/>
        <w:autoSpaceDN w:val="0"/>
        <w:adjustRightInd w:val="0"/>
      </w:pPr>
      <w:r>
        <w:t>Service under this schedule shall be single-phase, 60 Hertz, alternating current at the Energy</w:t>
      </w:r>
      <w:r w:rsidR="0071511A">
        <w:t xml:space="preserve"> </w:t>
      </w:r>
      <w:r>
        <w:t>Department’s available standard general service distribution voltages. At the option of the</w:t>
      </w:r>
      <w:r w:rsidR="0071511A">
        <w:t xml:space="preserve"> </w:t>
      </w:r>
      <w:r>
        <w:t>Energy Department, three-phase service may be provided. All service required on the premises</w:t>
      </w:r>
      <w:r w:rsidR="0071511A">
        <w:t xml:space="preserve"> </w:t>
      </w:r>
      <w:r>
        <w:t>by the customer will be supplied through one meter. Standby or resale service is not permitted under this schedule.</w:t>
      </w:r>
      <w:r w:rsidR="00FD6407">
        <w:t xml:space="preserve"> This rate is limited to a maximum demand of 10 kW. Customers on this rate exceeding 1</w:t>
      </w:r>
      <w:r w:rsidR="005670C9">
        <w:t xml:space="preserve">0kW demand during twelve (12) of any continuous twelve (12) month period will be subject to Schedule 2 for not less than twelve (12) continuous months.  </w:t>
      </w:r>
    </w:p>
    <w:p w:rsidR="0071511A" w:rsidRDefault="0071511A" w:rsidP="00C97A50">
      <w:pPr>
        <w:autoSpaceDE w:val="0"/>
        <w:autoSpaceDN w:val="0"/>
        <w:adjustRightInd w:val="0"/>
      </w:pPr>
    </w:p>
    <w:p w:rsidR="0071511A" w:rsidRDefault="0071511A" w:rsidP="00C97A50">
      <w:pPr>
        <w:autoSpaceDE w:val="0"/>
        <w:autoSpaceDN w:val="0"/>
        <w:adjustRightInd w:val="0"/>
      </w:pPr>
    </w:p>
    <w:p w:rsidR="0071511A" w:rsidRDefault="0071511A" w:rsidP="00C97A50">
      <w:pPr>
        <w:autoSpaceDE w:val="0"/>
        <w:autoSpaceDN w:val="0"/>
        <w:adjustRightInd w:val="0"/>
      </w:pPr>
    </w:p>
    <w:p w:rsidR="00287B83" w:rsidRDefault="00287B83" w:rsidP="00C97A50">
      <w:pPr>
        <w:autoSpaceDE w:val="0"/>
        <w:autoSpaceDN w:val="0"/>
        <w:adjustRightInd w:val="0"/>
      </w:pPr>
    </w:p>
    <w:p w:rsidR="00287B83" w:rsidRDefault="00287B83" w:rsidP="00C97A50">
      <w:pPr>
        <w:autoSpaceDE w:val="0"/>
        <w:autoSpaceDN w:val="0"/>
        <w:adjustRightInd w:val="0"/>
      </w:pPr>
    </w:p>
    <w:p w:rsidR="0071511A" w:rsidRDefault="0071511A" w:rsidP="00C97A50">
      <w:pPr>
        <w:autoSpaceDE w:val="0"/>
        <w:autoSpaceDN w:val="0"/>
        <w:adjustRightInd w:val="0"/>
      </w:pPr>
    </w:p>
    <w:p w:rsidR="000F73A6" w:rsidRPr="002A152D" w:rsidRDefault="002A152D" w:rsidP="002A152D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Sheet No. 11-2</w:t>
      </w:r>
    </w:p>
    <w:p w:rsidR="0071511A" w:rsidRDefault="0071511A" w:rsidP="00694A0B">
      <w:pPr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 xml:space="preserve">LECTRIC 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2"/>
          <w:szCs w:val="22"/>
        </w:rPr>
        <w:t xml:space="preserve">ERVICE 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2"/>
          <w:szCs w:val="22"/>
        </w:rPr>
        <w:t xml:space="preserve">CHEDULE </w:t>
      </w: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>O</w:t>
      </w:r>
      <w:r>
        <w:rPr>
          <w:b/>
          <w:bCs/>
          <w:sz w:val="28"/>
          <w:szCs w:val="28"/>
        </w:rPr>
        <w:t xml:space="preserve">. 11 </w:t>
      </w:r>
      <w:r>
        <w:t>(Continued)</w:t>
      </w:r>
    </w:p>
    <w:p w:rsidR="0071511A" w:rsidRDefault="0071511A" w:rsidP="00C956C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1511A" w:rsidRDefault="0071511A" w:rsidP="00C956C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956C3" w:rsidRDefault="00C956C3" w:rsidP="00C956C3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6"/>
          <w:szCs w:val="26"/>
        </w:rPr>
        <w:t>M</w:t>
      </w:r>
      <w:r>
        <w:rPr>
          <w:b/>
          <w:bCs/>
          <w:sz w:val="21"/>
          <w:szCs w:val="21"/>
        </w:rPr>
        <w:t xml:space="preserve">ONTHLY </w:t>
      </w:r>
      <w:r>
        <w:rPr>
          <w:b/>
          <w:bCs/>
          <w:sz w:val="26"/>
          <w:szCs w:val="26"/>
        </w:rPr>
        <w:t>R</w:t>
      </w:r>
      <w:r>
        <w:rPr>
          <w:b/>
          <w:bCs/>
          <w:sz w:val="21"/>
          <w:szCs w:val="21"/>
        </w:rPr>
        <w:t>ATE</w:t>
      </w:r>
    </w:p>
    <w:p w:rsidR="00C956C3" w:rsidRDefault="00C956C3" w:rsidP="00C956C3">
      <w:pPr>
        <w:autoSpaceDE w:val="0"/>
        <w:autoSpaceDN w:val="0"/>
        <w:adjustRightInd w:val="0"/>
      </w:pPr>
    </w:p>
    <w:p w:rsidR="00C956C3" w:rsidRDefault="00C956C3" w:rsidP="00C956C3">
      <w:pPr>
        <w:autoSpaceDE w:val="0"/>
        <w:autoSpaceDN w:val="0"/>
        <w:adjustRightInd w:val="0"/>
      </w:pPr>
      <w:r>
        <w:t>The monthly billing for electric service, excluding charges for other utility services and taxes,</w:t>
      </w:r>
      <w:r w:rsidR="005B5D6E">
        <w:t xml:space="preserve"> </w:t>
      </w:r>
      <w:r>
        <w:t>shall be the sum of the following charges:</w:t>
      </w:r>
    </w:p>
    <w:p w:rsidR="00C956C3" w:rsidRDefault="00C956C3" w:rsidP="00C956C3">
      <w:pPr>
        <w:autoSpaceDE w:val="0"/>
        <w:autoSpaceDN w:val="0"/>
        <w:adjustRightInd w:val="0"/>
      </w:pPr>
    </w:p>
    <w:p w:rsidR="00C956C3" w:rsidRDefault="00C956C3" w:rsidP="00C956C3">
      <w:pPr>
        <w:autoSpaceDE w:val="0"/>
        <w:autoSpaceDN w:val="0"/>
        <w:adjustRightInd w:val="0"/>
      </w:pPr>
      <w:r>
        <w:rPr>
          <w:b/>
          <w:bCs/>
        </w:rPr>
        <w:t>Customer Service Charge:</w:t>
      </w:r>
      <w:r w:rsidR="005B5D6E">
        <w:rPr>
          <w:b/>
          <w:bCs/>
        </w:rPr>
        <w:tab/>
      </w:r>
      <w:r>
        <w:t>$</w:t>
      </w:r>
      <w:r w:rsidR="007F12AF">
        <w:t>15.65</w:t>
      </w:r>
      <w:r>
        <w:t xml:space="preserve"> per Service Connection </w:t>
      </w:r>
    </w:p>
    <w:p w:rsidR="00AE6117" w:rsidRDefault="00C956C3" w:rsidP="00C956C3">
      <w:pPr>
        <w:autoSpaceDE w:val="0"/>
        <w:autoSpaceDN w:val="0"/>
        <w:adjustRightInd w:val="0"/>
      </w:pPr>
      <w:r>
        <w:rPr>
          <w:b/>
          <w:bCs/>
        </w:rPr>
        <w:t>Demand Charge:</w:t>
      </w:r>
      <w:r w:rsidR="005B5D6E">
        <w:rPr>
          <w:b/>
          <w:bCs/>
        </w:rPr>
        <w:tab/>
      </w:r>
      <w:r w:rsidR="005B5D6E">
        <w:rPr>
          <w:b/>
          <w:bCs/>
        </w:rPr>
        <w:tab/>
      </w:r>
      <w:r w:rsidR="005B5D6E" w:rsidRPr="005B5D6E">
        <w:rPr>
          <w:bCs/>
        </w:rPr>
        <w:t>$0.00</w:t>
      </w:r>
    </w:p>
    <w:p w:rsidR="00C956C3" w:rsidRDefault="00C956C3" w:rsidP="00C956C3">
      <w:pPr>
        <w:autoSpaceDE w:val="0"/>
        <w:autoSpaceDN w:val="0"/>
        <w:adjustRightInd w:val="0"/>
      </w:pPr>
      <w:r>
        <w:rPr>
          <w:b/>
          <w:bCs/>
        </w:rPr>
        <w:t>Energy Charge:</w:t>
      </w:r>
      <w:r w:rsidR="005B5D6E">
        <w:rPr>
          <w:b/>
          <w:bCs/>
        </w:rPr>
        <w:tab/>
      </w:r>
      <w:r w:rsidR="005B5D6E">
        <w:rPr>
          <w:b/>
          <w:bCs/>
        </w:rPr>
        <w:tab/>
      </w:r>
      <w:r>
        <w:t>$0.0</w:t>
      </w:r>
      <w:r w:rsidR="001F5338">
        <w:t>9</w:t>
      </w:r>
      <w:r w:rsidR="007F12AF">
        <w:t>49</w:t>
      </w:r>
      <w:r>
        <w:t xml:space="preserve"> per kWh for the first </w:t>
      </w:r>
      <w:r w:rsidR="00AE6117">
        <w:t>300</w:t>
      </w:r>
      <w:r>
        <w:t xml:space="preserve"> kWh</w:t>
      </w:r>
    </w:p>
    <w:p w:rsidR="00C956C3" w:rsidRDefault="005B5D6E" w:rsidP="005B5D6E">
      <w:pPr>
        <w:autoSpaceDE w:val="0"/>
        <w:autoSpaceDN w:val="0"/>
        <w:adjustRightInd w:val="0"/>
      </w:pPr>
      <w:r>
        <w:rPr>
          <w:b/>
          <w:bCs/>
        </w:rPr>
        <w:t>Energy Charge:</w:t>
      </w:r>
      <w:r>
        <w:rPr>
          <w:b/>
          <w:bCs/>
        </w:rPr>
        <w:tab/>
      </w:r>
      <w:r>
        <w:rPr>
          <w:b/>
          <w:bCs/>
        </w:rPr>
        <w:tab/>
      </w:r>
      <w:r w:rsidR="00C956C3">
        <w:t>$0.</w:t>
      </w:r>
      <w:r w:rsidR="001F5338">
        <w:t>10</w:t>
      </w:r>
      <w:r w:rsidR="007F12AF">
        <w:t>88</w:t>
      </w:r>
      <w:r w:rsidR="00C956C3">
        <w:t xml:space="preserve"> per kWh for all additional kWh</w:t>
      </w:r>
    </w:p>
    <w:p w:rsidR="00C956C3" w:rsidRDefault="00C956C3" w:rsidP="00C956C3">
      <w:pPr>
        <w:autoSpaceDE w:val="0"/>
        <w:autoSpaceDN w:val="0"/>
        <w:adjustRightInd w:val="0"/>
      </w:pPr>
    </w:p>
    <w:p w:rsidR="00C956C3" w:rsidRDefault="00C956C3" w:rsidP="00C956C3">
      <w:pPr>
        <w:autoSpaceDE w:val="0"/>
        <w:autoSpaceDN w:val="0"/>
        <w:adjustRightInd w:val="0"/>
      </w:pPr>
      <w:r>
        <w:rPr>
          <w:b/>
          <w:bCs/>
          <w:sz w:val="26"/>
          <w:szCs w:val="26"/>
        </w:rPr>
        <w:t>D</w:t>
      </w:r>
      <w:r>
        <w:rPr>
          <w:b/>
          <w:bCs/>
          <w:sz w:val="21"/>
          <w:szCs w:val="21"/>
        </w:rPr>
        <w:t xml:space="preserve">EMAND </w:t>
      </w:r>
      <w:r>
        <w:rPr>
          <w:b/>
          <w:bCs/>
          <w:sz w:val="26"/>
          <w:szCs w:val="26"/>
        </w:rPr>
        <w:t>M</w:t>
      </w:r>
      <w:r>
        <w:rPr>
          <w:b/>
          <w:bCs/>
          <w:sz w:val="21"/>
          <w:szCs w:val="21"/>
        </w:rPr>
        <w:t>ETERING</w:t>
      </w:r>
    </w:p>
    <w:p w:rsidR="005B5D6E" w:rsidRDefault="005B5D6E" w:rsidP="00C956C3">
      <w:pPr>
        <w:autoSpaceDE w:val="0"/>
        <w:autoSpaceDN w:val="0"/>
        <w:adjustRightInd w:val="0"/>
      </w:pPr>
    </w:p>
    <w:p w:rsidR="00C956C3" w:rsidRDefault="00C956C3" w:rsidP="00C956C3">
      <w:pPr>
        <w:autoSpaceDE w:val="0"/>
        <w:autoSpaceDN w:val="0"/>
        <w:adjustRightInd w:val="0"/>
      </w:pPr>
      <w:r>
        <w:t>The Energy Department reserves the right to install demand metering equipment to comply with</w:t>
      </w:r>
      <w:r w:rsidR="005B5D6E">
        <w:t xml:space="preserve"> </w:t>
      </w:r>
      <w:r>
        <w:t>this rate schedule. The kW billing demand shall be the highest measured 15</w:t>
      </w:r>
      <w:r w:rsidR="005B5D6E">
        <w:t xml:space="preserve"> </w:t>
      </w:r>
      <w:r>
        <w:t>minute kW for the</w:t>
      </w:r>
      <w:r w:rsidR="005B5D6E">
        <w:t xml:space="preserve"> </w:t>
      </w:r>
      <w:r>
        <w:t>billing period, adjusted for power factor a</w:t>
      </w:r>
      <w:r w:rsidR="005B5D6E">
        <w:t xml:space="preserve">s specified in this schedule. </w:t>
      </w:r>
    </w:p>
    <w:p w:rsidR="005B5D6E" w:rsidRDefault="005B5D6E" w:rsidP="00C956C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956C3" w:rsidRDefault="00C956C3" w:rsidP="00C956C3">
      <w:pPr>
        <w:autoSpaceDE w:val="0"/>
        <w:autoSpaceDN w:val="0"/>
        <w:adjustRightInd w:val="0"/>
      </w:pPr>
      <w:r>
        <w:rPr>
          <w:b/>
          <w:bCs/>
          <w:sz w:val="26"/>
          <w:szCs w:val="26"/>
        </w:rPr>
        <w:t>P</w:t>
      </w:r>
      <w:r>
        <w:rPr>
          <w:b/>
          <w:bCs/>
          <w:sz w:val="21"/>
          <w:szCs w:val="21"/>
        </w:rPr>
        <w:t xml:space="preserve">OWER </w:t>
      </w:r>
      <w:r>
        <w:rPr>
          <w:b/>
          <w:bCs/>
          <w:sz w:val="26"/>
          <w:szCs w:val="26"/>
        </w:rPr>
        <w:t>F</w:t>
      </w:r>
      <w:r>
        <w:rPr>
          <w:b/>
          <w:bCs/>
          <w:sz w:val="21"/>
          <w:szCs w:val="21"/>
        </w:rPr>
        <w:t>ACTOR</w:t>
      </w:r>
    </w:p>
    <w:p w:rsidR="005B5D6E" w:rsidRDefault="005B5D6E" w:rsidP="00C956C3">
      <w:pPr>
        <w:autoSpaceDE w:val="0"/>
        <w:autoSpaceDN w:val="0"/>
        <w:adjustRightInd w:val="0"/>
      </w:pPr>
    </w:p>
    <w:p w:rsidR="00C956C3" w:rsidRDefault="00C956C3" w:rsidP="00C956C3">
      <w:pPr>
        <w:autoSpaceDE w:val="0"/>
        <w:autoSpaceDN w:val="0"/>
        <w:adjustRightInd w:val="0"/>
      </w:pPr>
      <w:r>
        <w:t>The Energy Department may, at its option, install metering equipment to allow the utility to</w:t>
      </w:r>
      <w:r w:rsidR="005B5D6E">
        <w:t xml:space="preserve"> </w:t>
      </w:r>
      <w:r>
        <w:t>determine the reactive components of power utilized by the customer. The customer’s utilization</w:t>
      </w:r>
      <w:r w:rsidR="005B5D6E">
        <w:t xml:space="preserve"> </w:t>
      </w:r>
      <w:r>
        <w:t>of equipment shall not result in a power factor at the point of delivery of less than 90% lagging</w:t>
      </w:r>
      <w:r w:rsidR="005B5D6E">
        <w:t xml:space="preserve"> </w:t>
      </w:r>
      <w:r>
        <w:t>at the time of maximum demand. Should the power factor be less than 90% lagging during any</w:t>
      </w:r>
      <w:r w:rsidR="005B5D6E">
        <w:t xml:space="preserve"> </w:t>
      </w:r>
      <w:r>
        <w:t>month, the Energy Department may adjust the readings taken to determine the billed demand by</w:t>
      </w:r>
      <w:r w:rsidR="005B5D6E">
        <w:t xml:space="preserve"> </w:t>
      </w:r>
      <w:r>
        <w:t>multiplying the kW obtained through such readings by 90% and by dividing the result by the</w:t>
      </w:r>
      <w:r w:rsidR="005B5D6E">
        <w:t xml:space="preserve"> </w:t>
      </w:r>
      <w:r>
        <w:t>power factor actually established at the time of maximum demand during the current month.</w:t>
      </w:r>
      <w:r w:rsidR="005B5D6E">
        <w:t xml:space="preserve"> </w:t>
      </w:r>
      <w:r>
        <w:t>Such adjusted readings shall be used in determining the billing demand.</w:t>
      </w:r>
    </w:p>
    <w:p w:rsidR="00C956C3" w:rsidRDefault="00C956C3" w:rsidP="00C956C3">
      <w:pPr>
        <w:autoSpaceDE w:val="0"/>
        <w:autoSpaceDN w:val="0"/>
        <w:adjustRightInd w:val="0"/>
      </w:pPr>
    </w:p>
    <w:p w:rsidR="00C956C3" w:rsidRDefault="00C956C3" w:rsidP="00C956C3">
      <w:pPr>
        <w:autoSpaceDE w:val="0"/>
        <w:autoSpaceDN w:val="0"/>
        <w:adjustRightInd w:val="0"/>
      </w:pPr>
      <w:r>
        <w:t>The Energy Department reserves the right, at its option, to utilize kVA meters, kVAR meters,</w:t>
      </w:r>
      <w:r w:rsidR="005B5D6E">
        <w:t xml:space="preserve"> </w:t>
      </w:r>
      <w:r>
        <w:t>and / or other appropriate meters in those metering installations where the customer’s power</w:t>
      </w:r>
      <w:r w:rsidR="005B5D6E">
        <w:t xml:space="preserve"> </w:t>
      </w:r>
      <w:r>
        <w:t>factor is believed to be unsatisfactory on a continuous basis according to the Energy</w:t>
      </w:r>
      <w:r w:rsidR="005B5D6E">
        <w:t xml:space="preserve"> </w:t>
      </w:r>
      <w:r>
        <w:t>Department’s standards. If such meters are installed, the billing demand in kW or kVA may be</w:t>
      </w:r>
      <w:r w:rsidR="005B5D6E">
        <w:t xml:space="preserve"> </w:t>
      </w:r>
      <w:r>
        <w:t>computed from such instruments.</w:t>
      </w:r>
    </w:p>
    <w:p w:rsidR="00C956C3" w:rsidRDefault="00C956C3" w:rsidP="00C97A50">
      <w:pPr>
        <w:autoSpaceDE w:val="0"/>
        <w:autoSpaceDN w:val="0"/>
        <w:adjustRightInd w:val="0"/>
      </w:pPr>
    </w:p>
    <w:p w:rsidR="000F73A6" w:rsidRDefault="000F73A6" w:rsidP="00C97A50">
      <w:pPr>
        <w:autoSpaceDE w:val="0"/>
        <w:autoSpaceDN w:val="0"/>
        <w:adjustRightInd w:val="0"/>
      </w:pPr>
    </w:p>
    <w:p w:rsidR="00287B83" w:rsidRDefault="00287B83" w:rsidP="00C97A50">
      <w:pPr>
        <w:autoSpaceDE w:val="0"/>
        <w:autoSpaceDN w:val="0"/>
        <w:adjustRightInd w:val="0"/>
      </w:pPr>
    </w:p>
    <w:p w:rsidR="00287B83" w:rsidRDefault="00287B83" w:rsidP="00C97A50">
      <w:pPr>
        <w:autoSpaceDE w:val="0"/>
        <w:autoSpaceDN w:val="0"/>
        <w:adjustRightInd w:val="0"/>
      </w:pPr>
    </w:p>
    <w:p w:rsidR="00287B83" w:rsidRDefault="00287B83" w:rsidP="00C97A50">
      <w:pPr>
        <w:autoSpaceDE w:val="0"/>
        <w:autoSpaceDN w:val="0"/>
        <w:adjustRightInd w:val="0"/>
      </w:pPr>
    </w:p>
    <w:p w:rsidR="00287B83" w:rsidRDefault="00287B83" w:rsidP="00C97A50">
      <w:pPr>
        <w:autoSpaceDE w:val="0"/>
        <w:autoSpaceDN w:val="0"/>
        <w:adjustRightInd w:val="0"/>
      </w:pPr>
    </w:p>
    <w:p w:rsidR="000F73A6" w:rsidRDefault="000F73A6" w:rsidP="000F73A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F73A6" w:rsidRDefault="000F73A6" w:rsidP="00C97A50">
      <w:pPr>
        <w:autoSpaceDE w:val="0"/>
        <w:autoSpaceDN w:val="0"/>
        <w:adjustRightInd w:val="0"/>
        <w:rPr>
          <w:sz w:val="20"/>
          <w:szCs w:val="20"/>
        </w:rPr>
      </w:pPr>
    </w:p>
    <w:p w:rsidR="000F73A6" w:rsidRDefault="000F73A6" w:rsidP="000F73A6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F73A6" w:rsidRPr="002A152D" w:rsidRDefault="002A152D" w:rsidP="002A152D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Sheet No. 11-3</w:t>
      </w:r>
    </w:p>
    <w:p w:rsidR="000F73A6" w:rsidRDefault="000F73A6" w:rsidP="000F73A6">
      <w:pPr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 xml:space="preserve">LECTRIC 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2"/>
          <w:szCs w:val="22"/>
        </w:rPr>
        <w:t xml:space="preserve">ERVICE 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2"/>
          <w:szCs w:val="22"/>
        </w:rPr>
        <w:t xml:space="preserve">CHEDULE </w:t>
      </w: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>O</w:t>
      </w:r>
      <w:r>
        <w:rPr>
          <w:b/>
          <w:bCs/>
          <w:sz w:val="28"/>
          <w:szCs w:val="28"/>
        </w:rPr>
        <w:t xml:space="preserve">. 11 </w:t>
      </w:r>
      <w:r>
        <w:t>(Continued)</w:t>
      </w:r>
    </w:p>
    <w:p w:rsidR="000F73A6" w:rsidRDefault="000F73A6" w:rsidP="00C956C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F73A6" w:rsidRDefault="000F73A6" w:rsidP="00C956C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956C3" w:rsidRDefault="00C956C3" w:rsidP="00C956C3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6"/>
          <w:szCs w:val="26"/>
        </w:rPr>
        <w:t>M</w:t>
      </w:r>
      <w:r>
        <w:rPr>
          <w:b/>
          <w:bCs/>
          <w:sz w:val="21"/>
          <w:szCs w:val="21"/>
        </w:rPr>
        <w:t xml:space="preserve">INIMUM </w:t>
      </w:r>
      <w:r>
        <w:rPr>
          <w:b/>
          <w:bCs/>
          <w:sz w:val="26"/>
          <w:szCs w:val="26"/>
        </w:rPr>
        <w:t>C</w:t>
      </w:r>
      <w:r>
        <w:rPr>
          <w:b/>
          <w:bCs/>
          <w:sz w:val="21"/>
          <w:szCs w:val="21"/>
        </w:rPr>
        <w:t>HARGE</w:t>
      </w:r>
    </w:p>
    <w:p w:rsidR="00C956C3" w:rsidRDefault="00C956C3" w:rsidP="00C956C3">
      <w:pPr>
        <w:autoSpaceDE w:val="0"/>
        <w:autoSpaceDN w:val="0"/>
        <w:adjustRightInd w:val="0"/>
      </w:pPr>
    </w:p>
    <w:p w:rsidR="00C956C3" w:rsidRDefault="00C956C3" w:rsidP="00C956C3">
      <w:pPr>
        <w:autoSpaceDE w:val="0"/>
        <w:autoSpaceDN w:val="0"/>
        <w:adjustRightInd w:val="0"/>
      </w:pPr>
      <w:r>
        <w:t>The minimum monthly charge shall be the Customer Charge listed above under the Monthly</w:t>
      </w:r>
      <w:r w:rsidR="000F73A6">
        <w:t xml:space="preserve"> </w:t>
      </w:r>
      <w:r>
        <w:t>Rate section.</w:t>
      </w:r>
    </w:p>
    <w:p w:rsidR="00C956C3" w:rsidRDefault="00C956C3" w:rsidP="00C956C3">
      <w:pPr>
        <w:autoSpaceDE w:val="0"/>
        <w:autoSpaceDN w:val="0"/>
        <w:adjustRightInd w:val="0"/>
      </w:pPr>
    </w:p>
    <w:p w:rsidR="00C956C3" w:rsidRDefault="00C956C3" w:rsidP="00C956C3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6"/>
          <w:szCs w:val="26"/>
        </w:rPr>
        <w:t>T</w:t>
      </w:r>
      <w:r>
        <w:rPr>
          <w:b/>
          <w:bCs/>
          <w:sz w:val="21"/>
          <w:szCs w:val="21"/>
        </w:rPr>
        <w:t xml:space="preserve">AX </w:t>
      </w:r>
      <w:r>
        <w:rPr>
          <w:b/>
          <w:bCs/>
          <w:sz w:val="26"/>
          <w:szCs w:val="26"/>
        </w:rPr>
        <w:t>A</w:t>
      </w:r>
      <w:r>
        <w:rPr>
          <w:b/>
          <w:bCs/>
          <w:sz w:val="21"/>
          <w:szCs w:val="21"/>
        </w:rPr>
        <w:t>DJUSTMENTS</w:t>
      </w:r>
    </w:p>
    <w:p w:rsidR="00C956C3" w:rsidRDefault="00C956C3" w:rsidP="00C956C3">
      <w:pPr>
        <w:autoSpaceDE w:val="0"/>
        <w:autoSpaceDN w:val="0"/>
        <w:adjustRightInd w:val="0"/>
      </w:pPr>
    </w:p>
    <w:p w:rsidR="00C956C3" w:rsidRDefault="00C956C3" w:rsidP="00C956C3">
      <w:pPr>
        <w:autoSpaceDE w:val="0"/>
        <w:autoSpaceDN w:val="0"/>
        <w:adjustRightInd w:val="0"/>
      </w:pPr>
      <w:r>
        <w:t>The amount computed at the above Monthly Rate shall be subject to taxes, assessments and</w:t>
      </w:r>
      <w:r w:rsidR="000F73A6">
        <w:t xml:space="preserve"> </w:t>
      </w:r>
      <w:r>
        <w:t>surcharges imposed by Provo City or any governmental authority authorized to levy said taxes,</w:t>
      </w:r>
      <w:r w:rsidR="000F73A6">
        <w:t xml:space="preserve"> </w:t>
      </w:r>
      <w:r>
        <w:t>assessments, or surcharges.</w:t>
      </w:r>
    </w:p>
    <w:p w:rsidR="00C956C3" w:rsidRDefault="00C956C3" w:rsidP="00C956C3">
      <w:pPr>
        <w:autoSpaceDE w:val="0"/>
        <w:autoSpaceDN w:val="0"/>
        <w:adjustRightInd w:val="0"/>
      </w:pPr>
    </w:p>
    <w:p w:rsidR="00C956C3" w:rsidRDefault="00C956C3" w:rsidP="00C956C3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6"/>
          <w:szCs w:val="26"/>
        </w:rPr>
        <w:t>T</w:t>
      </w:r>
      <w:r>
        <w:rPr>
          <w:b/>
          <w:bCs/>
          <w:sz w:val="21"/>
          <w:szCs w:val="21"/>
        </w:rPr>
        <w:t xml:space="preserve">ERMS AND </w:t>
      </w:r>
      <w:r>
        <w:rPr>
          <w:b/>
          <w:bCs/>
          <w:sz w:val="26"/>
          <w:szCs w:val="26"/>
        </w:rPr>
        <w:t>C</w:t>
      </w:r>
      <w:r>
        <w:rPr>
          <w:b/>
          <w:bCs/>
          <w:sz w:val="21"/>
          <w:szCs w:val="21"/>
        </w:rPr>
        <w:t>ONDITIONS</w:t>
      </w:r>
    </w:p>
    <w:p w:rsidR="00C956C3" w:rsidRDefault="00C956C3" w:rsidP="00C956C3">
      <w:pPr>
        <w:autoSpaceDE w:val="0"/>
        <w:autoSpaceDN w:val="0"/>
        <w:adjustRightInd w:val="0"/>
      </w:pPr>
    </w:p>
    <w:p w:rsidR="00D30A00" w:rsidRDefault="00C956C3" w:rsidP="000F73A6">
      <w:pPr>
        <w:autoSpaceDE w:val="0"/>
        <w:autoSpaceDN w:val="0"/>
        <w:adjustRightInd w:val="0"/>
      </w:pPr>
      <w:r>
        <w:t>Service under this schedule will be in accordance with the Energy Department’s electric service</w:t>
      </w:r>
      <w:r w:rsidR="000F73A6">
        <w:t xml:space="preserve"> </w:t>
      </w:r>
      <w:r>
        <w:t>standards and policies and terms and conditions set forth by the Department’s standard</w:t>
      </w:r>
      <w:r w:rsidR="000F73A6">
        <w:t xml:space="preserve"> </w:t>
      </w:r>
      <w:r>
        <w:t>application requir</w:t>
      </w:r>
      <w:bookmarkStart w:id="0" w:name="_GoBack"/>
      <w:bookmarkEnd w:id="0"/>
      <w:r>
        <w:t>ements and Provo City Ordinances, including any future additions or</w:t>
      </w:r>
      <w:r w:rsidR="000F73A6">
        <w:t xml:space="preserve"> </w:t>
      </w:r>
      <w:r>
        <w:t>amendments.</w:t>
      </w:r>
    </w:p>
    <w:p w:rsidR="000F73A6" w:rsidRDefault="000F73A6" w:rsidP="000F73A6">
      <w:pPr>
        <w:autoSpaceDE w:val="0"/>
        <w:autoSpaceDN w:val="0"/>
        <w:adjustRightInd w:val="0"/>
      </w:pPr>
    </w:p>
    <w:p w:rsidR="000F73A6" w:rsidRDefault="000F73A6" w:rsidP="000F73A6">
      <w:pPr>
        <w:autoSpaceDE w:val="0"/>
        <w:autoSpaceDN w:val="0"/>
        <w:adjustRightInd w:val="0"/>
      </w:pPr>
    </w:p>
    <w:p w:rsidR="000F73A6" w:rsidRDefault="000F73A6" w:rsidP="000F73A6">
      <w:pPr>
        <w:autoSpaceDE w:val="0"/>
        <w:autoSpaceDN w:val="0"/>
        <w:adjustRightInd w:val="0"/>
      </w:pPr>
    </w:p>
    <w:p w:rsidR="000F73A6" w:rsidRDefault="000F73A6" w:rsidP="000F73A6">
      <w:pPr>
        <w:autoSpaceDE w:val="0"/>
        <w:autoSpaceDN w:val="0"/>
        <w:adjustRightInd w:val="0"/>
      </w:pPr>
    </w:p>
    <w:p w:rsidR="000F73A6" w:rsidRDefault="000F73A6" w:rsidP="000F73A6">
      <w:pPr>
        <w:autoSpaceDE w:val="0"/>
        <w:autoSpaceDN w:val="0"/>
        <w:adjustRightInd w:val="0"/>
      </w:pPr>
    </w:p>
    <w:p w:rsidR="000F73A6" w:rsidRDefault="000F73A6" w:rsidP="000F73A6">
      <w:pPr>
        <w:autoSpaceDE w:val="0"/>
        <w:autoSpaceDN w:val="0"/>
        <w:adjustRightInd w:val="0"/>
      </w:pPr>
    </w:p>
    <w:p w:rsidR="000F73A6" w:rsidRDefault="000F73A6" w:rsidP="000F73A6">
      <w:pPr>
        <w:autoSpaceDE w:val="0"/>
        <w:autoSpaceDN w:val="0"/>
        <w:adjustRightInd w:val="0"/>
      </w:pPr>
    </w:p>
    <w:p w:rsidR="000F73A6" w:rsidRDefault="000F73A6" w:rsidP="000F73A6">
      <w:pPr>
        <w:autoSpaceDE w:val="0"/>
        <w:autoSpaceDN w:val="0"/>
        <w:adjustRightInd w:val="0"/>
      </w:pPr>
    </w:p>
    <w:p w:rsidR="000F73A6" w:rsidRDefault="000F73A6" w:rsidP="000F73A6">
      <w:pPr>
        <w:autoSpaceDE w:val="0"/>
        <w:autoSpaceDN w:val="0"/>
        <w:adjustRightInd w:val="0"/>
      </w:pPr>
    </w:p>
    <w:p w:rsidR="000F73A6" w:rsidRDefault="000F73A6" w:rsidP="000F73A6">
      <w:pPr>
        <w:autoSpaceDE w:val="0"/>
        <w:autoSpaceDN w:val="0"/>
        <w:adjustRightInd w:val="0"/>
      </w:pPr>
    </w:p>
    <w:p w:rsidR="000F73A6" w:rsidRDefault="000F73A6" w:rsidP="000F73A6">
      <w:pPr>
        <w:autoSpaceDE w:val="0"/>
        <w:autoSpaceDN w:val="0"/>
        <w:adjustRightInd w:val="0"/>
      </w:pPr>
    </w:p>
    <w:p w:rsidR="000F73A6" w:rsidRDefault="000F73A6" w:rsidP="000F73A6">
      <w:pPr>
        <w:autoSpaceDE w:val="0"/>
        <w:autoSpaceDN w:val="0"/>
        <w:adjustRightInd w:val="0"/>
      </w:pPr>
    </w:p>
    <w:p w:rsidR="000F73A6" w:rsidRDefault="000F73A6" w:rsidP="000F73A6">
      <w:pPr>
        <w:autoSpaceDE w:val="0"/>
        <w:autoSpaceDN w:val="0"/>
        <w:adjustRightInd w:val="0"/>
      </w:pPr>
    </w:p>
    <w:p w:rsidR="000F73A6" w:rsidRDefault="000F73A6" w:rsidP="000F73A6">
      <w:pPr>
        <w:autoSpaceDE w:val="0"/>
        <w:autoSpaceDN w:val="0"/>
        <w:adjustRightInd w:val="0"/>
      </w:pPr>
    </w:p>
    <w:p w:rsidR="00D2062E" w:rsidRDefault="00D2062E" w:rsidP="000F73A6">
      <w:pPr>
        <w:autoSpaceDE w:val="0"/>
        <w:autoSpaceDN w:val="0"/>
        <w:adjustRightInd w:val="0"/>
      </w:pPr>
    </w:p>
    <w:p w:rsidR="00D2062E" w:rsidRDefault="00D2062E" w:rsidP="000F73A6">
      <w:pPr>
        <w:autoSpaceDE w:val="0"/>
        <w:autoSpaceDN w:val="0"/>
        <w:adjustRightInd w:val="0"/>
      </w:pPr>
    </w:p>
    <w:p w:rsidR="00D2062E" w:rsidRDefault="00D2062E" w:rsidP="000F73A6">
      <w:pPr>
        <w:autoSpaceDE w:val="0"/>
        <w:autoSpaceDN w:val="0"/>
        <w:adjustRightInd w:val="0"/>
      </w:pPr>
    </w:p>
    <w:p w:rsidR="000F73A6" w:rsidRDefault="000F73A6" w:rsidP="000F73A6">
      <w:pPr>
        <w:autoSpaceDE w:val="0"/>
        <w:autoSpaceDN w:val="0"/>
        <w:adjustRightInd w:val="0"/>
      </w:pPr>
    </w:p>
    <w:p w:rsidR="00D2062E" w:rsidRDefault="00D2062E" w:rsidP="00E84D0D">
      <w:pPr>
        <w:autoSpaceDE w:val="0"/>
        <w:autoSpaceDN w:val="0"/>
        <w:adjustRightInd w:val="0"/>
      </w:pPr>
    </w:p>
    <w:p w:rsidR="00287B83" w:rsidRDefault="00287B83" w:rsidP="00E84D0D">
      <w:pPr>
        <w:autoSpaceDE w:val="0"/>
        <w:autoSpaceDN w:val="0"/>
        <w:adjustRightInd w:val="0"/>
      </w:pPr>
    </w:p>
    <w:p w:rsidR="00287B83" w:rsidRDefault="00287B83" w:rsidP="00C97A50">
      <w:pPr>
        <w:autoSpaceDE w:val="0"/>
        <w:autoSpaceDN w:val="0"/>
        <w:adjustRightInd w:val="0"/>
      </w:pPr>
    </w:p>
    <w:p w:rsidR="00D2062E" w:rsidRDefault="00D2062E" w:rsidP="00C97A50">
      <w:pPr>
        <w:autoSpaceDE w:val="0"/>
        <w:autoSpaceDN w:val="0"/>
        <w:adjustRightInd w:val="0"/>
      </w:pPr>
    </w:p>
    <w:p w:rsidR="000F73A6" w:rsidRDefault="00D2062E" w:rsidP="000F73A6">
      <w:pPr>
        <w:autoSpaceDE w:val="0"/>
        <w:autoSpaceDN w:val="0"/>
        <w:adjustRightInd w:val="0"/>
      </w:pPr>
      <w:r>
        <w:rPr>
          <w:sz w:val="16"/>
          <w:szCs w:val="16"/>
        </w:rPr>
        <w:t xml:space="preserve"> </w:t>
      </w:r>
    </w:p>
    <w:sectPr w:rsidR="000F73A6" w:rsidSect="001B3BD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0D" w:rsidRDefault="00E84D0D" w:rsidP="00E84D0D">
      <w:r>
        <w:separator/>
      </w:r>
    </w:p>
  </w:endnote>
  <w:endnote w:type="continuationSeparator" w:id="0">
    <w:p w:rsidR="00E84D0D" w:rsidRDefault="00E84D0D" w:rsidP="00E8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0D" w:rsidRDefault="00E84D0D">
    <w:pPr>
      <w:pStyle w:val="Footer"/>
      <w:pBdr>
        <w:bottom w:val="single" w:sz="12" w:space="1" w:color="auto"/>
      </w:pBdr>
      <w:rPr>
        <w:sz w:val="20"/>
      </w:rPr>
    </w:pPr>
  </w:p>
  <w:p w:rsidR="00E84D0D" w:rsidRPr="00E84D0D" w:rsidRDefault="00E84D0D">
    <w:pPr>
      <w:pStyle w:val="Footer"/>
      <w:rPr>
        <w:sz w:val="20"/>
      </w:rPr>
    </w:pPr>
    <w:r w:rsidRPr="00E84D0D">
      <w:rPr>
        <w:sz w:val="20"/>
      </w:rPr>
      <w:t xml:space="preserve">Council Approval: </w:t>
    </w:r>
    <w:r w:rsidR="007F12AF">
      <w:rPr>
        <w:sz w:val="20"/>
      </w:rPr>
      <w:t>June</w:t>
    </w:r>
    <w:r w:rsidR="00FD43DD">
      <w:rPr>
        <w:sz w:val="20"/>
      </w:rPr>
      <w:t>, 201</w:t>
    </w:r>
    <w:r w:rsidR="007F12AF">
      <w:rPr>
        <w:sz w:val="20"/>
      </w:rPr>
      <w:t>6</w:t>
    </w:r>
    <w:r w:rsidRPr="00E84D0D">
      <w:rPr>
        <w:sz w:val="20"/>
      </w:rPr>
      <w:t xml:space="preserve">                                             </w:t>
    </w:r>
    <w:r>
      <w:rPr>
        <w:sz w:val="20"/>
      </w:rPr>
      <w:t xml:space="preserve">                   </w:t>
    </w:r>
    <w:r w:rsidR="00D83F99">
      <w:rPr>
        <w:sz w:val="20"/>
      </w:rPr>
      <w:t xml:space="preserve"> </w:t>
    </w:r>
    <w:r w:rsidR="00457AD6">
      <w:rPr>
        <w:sz w:val="16"/>
        <w:szCs w:val="16"/>
      </w:rPr>
      <w:t>Effective: July 1, 201</w:t>
    </w:r>
    <w:r w:rsidR="007F12AF">
      <w:rPr>
        <w:sz w:val="16"/>
        <w:szCs w:val="16"/>
      </w:rPr>
      <w:t>6</w:t>
    </w:r>
    <w:r w:rsidR="00457AD6">
      <w:rPr>
        <w:sz w:val="16"/>
        <w:szCs w:val="16"/>
      </w:rPr>
      <w:t xml:space="preserve"> Billing Period</w:t>
    </w:r>
  </w:p>
  <w:p w:rsidR="00E84D0D" w:rsidRPr="00E84D0D" w:rsidRDefault="00E84D0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0D" w:rsidRDefault="00E84D0D" w:rsidP="00E84D0D">
      <w:r>
        <w:separator/>
      </w:r>
    </w:p>
  </w:footnote>
  <w:footnote w:type="continuationSeparator" w:id="0">
    <w:p w:rsidR="00E84D0D" w:rsidRDefault="00E84D0D" w:rsidP="00E8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0D" w:rsidRDefault="00E84D0D">
    <w:pPr>
      <w:pStyle w:val="Header"/>
      <w:pBdr>
        <w:bottom w:val="single" w:sz="12" w:space="1" w:color="auto"/>
      </w:pBdr>
    </w:pPr>
    <w:r>
      <w:t>Provo City Energy Department</w:t>
    </w:r>
  </w:p>
  <w:p w:rsidR="00E84D0D" w:rsidRDefault="00E84D0D">
    <w:pPr>
      <w:pStyle w:val="Header"/>
    </w:pPr>
  </w:p>
  <w:p w:rsidR="00E84D0D" w:rsidRDefault="00E84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7B"/>
    <w:rsid w:val="00006541"/>
    <w:rsid w:val="0003678F"/>
    <w:rsid w:val="0003699D"/>
    <w:rsid w:val="000407B0"/>
    <w:rsid w:val="00040A04"/>
    <w:rsid w:val="00046809"/>
    <w:rsid w:val="000740CC"/>
    <w:rsid w:val="00087843"/>
    <w:rsid w:val="00096A2C"/>
    <w:rsid w:val="00096FE9"/>
    <w:rsid w:val="000A301B"/>
    <w:rsid w:val="000C6A96"/>
    <w:rsid w:val="000F37FB"/>
    <w:rsid w:val="000F73A6"/>
    <w:rsid w:val="00114085"/>
    <w:rsid w:val="00123C0F"/>
    <w:rsid w:val="00126289"/>
    <w:rsid w:val="001434CD"/>
    <w:rsid w:val="00173AA5"/>
    <w:rsid w:val="00183B8B"/>
    <w:rsid w:val="001902D7"/>
    <w:rsid w:val="001A15EC"/>
    <w:rsid w:val="001A24C8"/>
    <w:rsid w:val="001B3BD1"/>
    <w:rsid w:val="001C5B75"/>
    <w:rsid w:val="001E63D3"/>
    <w:rsid w:val="001E7F57"/>
    <w:rsid w:val="001F09E7"/>
    <w:rsid w:val="001F5338"/>
    <w:rsid w:val="00204287"/>
    <w:rsid w:val="00204989"/>
    <w:rsid w:val="0022582F"/>
    <w:rsid w:val="0024036E"/>
    <w:rsid w:val="00254F5B"/>
    <w:rsid w:val="00256DF8"/>
    <w:rsid w:val="002812B9"/>
    <w:rsid w:val="00287B83"/>
    <w:rsid w:val="00291F03"/>
    <w:rsid w:val="002954D8"/>
    <w:rsid w:val="002A152D"/>
    <w:rsid w:val="002E40E6"/>
    <w:rsid w:val="002F1FE5"/>
    <w:rsid w:val="00325A87"/>
    <w:rsid w:val="00344B49"/>
    <w:rsid w:val="00345983"/>
    <w:rsid w:val="00381077"/>
    <w:rsid w:val="003A56F9"/>
    <w:rsid w:val="003B1D57"/>
    <w:rsid w:val="003B6D3B"/>
    <w:rsid w:val="003C7C3A"/>
    <w:rsid w:val="003D5FDA"/>
    <w:rsid w:val="00402E22"/>
    <w:rsid w:val="0040318F"/>
    <w:rsid w:val="0040523A"/>
    <w:rsid w:val="00432DF0"/>
    <w:rsid w:val="00450FA3"/>
    <w:rsid w:val="004567F1"/>
    <w:rsid w:val="00456DE6"/>
    <w:rsid w:val="00457AD6"/>
    <w:rsid w:val="00496BC7"/>
    <w:rsid w:val="004A0971"/>
    <w:rsid w:val="004A7B11"/>
    <w:rsid w:val="004C1E0F"/>
    <w:rsid w:val="004E1876"/>
    <w:rsid w:val="00505A97"/>
    <w:rsid w:val="00505D03"/>
    <w:rsid w:val="0050620F"/>
    <w:rsid w:val="00506E3A"/>
    <w:rsid w:val="00527B67"/>
    <w:rsid w:val="005445BA"/>
    <w:rsid w:val="0055008C"/>
    <w:rsid w:val="0056282F"/>
    <w:rsid w:val="005670C9"/>
    <w:rsid w:val="00573C7F"/>
    <w:rsid w:val="005B5D6E"/>
    <w:rsid w:val="00611293"/>
    <w:rsid w:val="00635982"/>
    <w:rsid w:val="00640E46"/>
    <w:rsid w:val="006524E5"/>
    <w:rsid w:val="0065612B"/>
    <w:rsid w:val="006569CF"/>
    <w:rsid w:val="00694A0B"/>
    <w:rsid w:val="006C469C"/>
    <w:rsid w:val="006E1D30"/>
    <w:rsid w:val="006E75B1"/>
    <w:rsid w:val="006F5FF7"/>
    <w:rsid w:val="00703263"/>
    <w:rsid w:val="0071511A"/>
    <w:rsid w:val="00717762"/>
    <w:rsid w:val="00720CE0"/>
    <w:rsid w:val="007333A6"/>
    <w:rsid w:val="007731FA"/>
    <w:rsid w:val="00774D52"/>
    <w:rsid w:val="0077645E"/>
    <w:rsid w:val="00781565"/>
    <w:rsid w:val="00782DCC"/>
    <w:rsid w:val="00796FB5"/>
    <w:rsid w:val="007A3120"/>
    <w:rsid w:val="007A6372"/>
    <w:rsid w:val="007C141F"/>
    <w:rsid w:val="007C7338"/>
    <w:rsid w:val="007D1B59"/>
    <w:rsid w:val="007D5D1D"/>
    <w:rsid w:val="007F12AF"/>
    <w:rsid w:val="007F4BD2"/>
    <w:rsid w:val="0080681B"/>
    <w:rsid w:val="00841FD9"/>
    <w:rsid w:val="00842092"/>
    <w:rsid w:val="00845888"/>
    <w:rsid w:val="00876DB1"/>
    <w:rsid w:val="008A7AB1"/>
    <w:rsid w:val="008F3528"/>
    <w:rsid w:val="0093281A"/>
    <w:rsid w:val="00933C6B"/>
    <w:rsid w:val="009376C5"/>
    <w:rsid w:val="00947DE7"/>
    <w:rsid w:val="00977504"/>
    <w:rsid w:val="009918E9"/>
    <w:rsid w:val="009B0AA6"/>
    <w:rsid w:val="009B2BEF"/>
    <w:rsid w:val="009B3D60"/>
    <w:rsid w:val="00A222AC"/>
    <w:rsid w:val="00A30EE6"/>
    <w:rsid w:val="00A57D76"/>
    <w:rsid w:val="00A833B1"/>
    <w:rsid w:val="00AB097D"/>
    <w:rsid w:val="00AB18DF"/>
    <w:rsid w:val="00AB22C4"/>
    <w:rsid w:val="00AC3957"/>
    <w:rsid w:val="00AC65B3"/>
    <w:rsid w:val="00AE6117"/>
    <w:rsid w:val="00AF724D"/>
    <w:rsid w:val="00B11F32"/>
    <w:rsid w:val="00B37CDB"/>
    <w:rsid w:val="00BC08E1"/>
    <w:rsid w:val="00C0251E"/>
    <w:rsid w:val="00C14BD4"/>
    <w:rsid w:val="00C36C8F"/>
    <w:rsid w:val="00C452BB"/>
    <w:rsid w:val="00C545E0"/>
    <w:rsid w:val="00C62D38"/>
    <w:rsid w:val="00C87641"/>
    <w:rsid w:val="00C956C3"/>
    <w:rsid w:val="00C97A50"/>
    <w:rsid w:val="00CB5055"/>
    <w:rsid w:val="00CC389E"/>
    <w:rsid w:val="00CF2582"/>
    <w:rsid w:val="00CF2B52"/>
    <w:rsid w:val="00D136C7"/>
    <w:rsid w:val="00D2062E"/>
    <w:rsid w:val="00D2467B"/>
    <w:rsid w:val="00D30A00"/>
    <w:rsid w:val="00D83F99"/>
    <w:rsid w:val="00DA2252"/>
    <w:rsid w:val="00DB4C40"/>
    <w:rsid w:val="00DC155B"/>
    <w:rsid w:val="00DE2ECC"/>
    <w:rsid w:val="00DF012A"/>
    <w:rsid w:val="00E01BB7"/>
    <w:rsid w:val="00E163C7"/>
    <w:rsid w:val="00E20D6A"/>
    <w:rsid w:val="00E27746"/>
    <w:rsid w:val="00E315AB"/>
    <w:rsid w:val="00E61545"/>
    <w:rsid w:val="00E7011B"/>
    <w:rsid w:val="00E84D0D"/>
    <w:rsid w:val="00E86B04"/>
    <w:rsid w:val="00E877A0"/>
    <w:rsid w:val="00EA5C94"/>
    <w:rsid w:val="00F0188D"/>
    <w:rsid w:val="00F17B46"/>
    <w:rsid w:val="00F33800"/>
    <w:rsid w:val="00F35E6B"/>
    <w:rsid w:val="00F81DF3"/>
    <w:rsid w:val="00FA16CD"/>
    <w:rsid w:val="00FD09C8"/>
    <w:rsid w:val="00FD43DD"/>
    <w:rsid w:val="00FD6407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5F05B"/>
  <w15:docId w15:val="{0E9EBCD6-DB2C-4C4C-94C1-5CB246F0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D09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56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3BD1"/>
    <w:rPr>
      <w:sz w:val="24"/>
      <w:szCs w:val="24"/>
    </w:rPr>
  </w:style>
  <w:style w:type="character" w:styleId="LineNumber">
    <w:name w:val="line number"/>
    <w:basedOn w:val="DefaultParagraphFont"/>
    <w:rsid w:val="001B3BD1"/>
  </w:style>
  <w:style w:type="paragraph" w:styleId="Header">
    <w:name w:val="header"/>
    <w:basedOn w:val="Normal"/>
    <w:link w:val="HeaderChar"/>
    <w:uiPriority w:val="99"/>
    <w:rsid w:val="00E84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D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4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D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1C15-C1EB-4E4C-A29F-02A395C6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Provo City Energy Department Sheet No</vt:lpstr>
    </vt:vector>
  </TitlesOfParts>
  <Company>Provo City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 City Energy Department Sheet No</dc:title>
  <dc:creator>alexd</dc:creator>
  <cp:lastModifiedBy>Travis Ball</cp:lastModifiedBy>
  <cp:revision>2</cp:revision>
  <cp:lastPrinted>2011-02-01T13:56:00Z</cp:lastPrinted>
  <dcterms:created xsi:type="dcterms:W3CDTF">2016-09-19T19:34:00Z</dcterms:created>
  <dcterms:modified xsi:type="dcterms:W3CDTF">2016-09-19T19:34:00Z</dcterms:modified>
</cp:coreProperties>
</file>